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74C61" w:rsidR="006833B0" w:rsidP="006833B0" w:rsidRDefault="006833B0" w14:paraId="7AE40C8E" w14:textId="4729C5B9">
      <w:pPr>
        <w:rPr>
          <w:b w:val="1"/>
          <w:bCs w:val="1"/>
        </w:rPr>
      </w:pPr>
      <w:r w:rsidRPr="57710C1A" w:rsidR="60FAB6CA">
        <w:rPr>
          <w:b w:val="1"/>
          <w:bCs w:val="1"/>
        </w:rPr>
        <w:t>AUDIT AREA/CYCLE/PROCESS:</w:t>
      </w:r>
      <w:r w:rsidRPr="57710C1A" w:rsidR="72A61AFA">
        <w:rPr>
          <w:b w:val="1"/>
          <w:bCs w:val="1"/>
        </w:rPr>
        <w:t xml:space="preserve"> </w:t>
      </w:r>
      <w:r w:rsidRPr="57710C1A" w:rsidR="08DA2BC9">
        <w:rPr>
          <w:b w:val="1"/>
          <w:bCs w:val="1"/>
          <w:color w:val="FF0000"/>
        </w:rPr>
        <w:t xml:space="preserve">Community </w:t>
      </w:r>
      <w:r w:rsidRPr="57710C1A" w:rsidR="08DA2BC9">
        <w:rPr>
          <w:b w:val="1"/>
          <w:bCs w:val="1"/>
          <w:color w:val="FF0000"/>
        </w:rPr>
        <w:t xml:space="preserve">Reinvestment </w:t>
      </w:r>
      <w:r w:rsidRPr="57710C1A" w:rsidR="08DA2BC9">
        <w:rPr>
          <w:b w:val="1"/>
          <w:bCs w:val="1"/>
          <w:color w:val="FF0000"/>
        </w:rPr>
        <w:t xml:space="preserve">Act </w:t>
      </w:r>
      <w:r w:rsidRPr="57710C1A" w:rsidR="08DA2BC9">
        <w:rPr>
          <w:b w:val="1"/>
          <w:bCs w:val="1"/>
          <w:color w:val="FF0000"/>
        </w:rPr>
        <w:t>(CRA)</w:t>
      </w:r>
      <w:r w:rsidRPr="57710C1A" w:rsidR="60FAB6CA">
        <w:rPr>
          <w:b w:val="1"/>
          <w:bCs w:val="1"/>
          <w:color w:val="FF0000"/>
        </w:rPr>
        <w:t xml:space="preserve"> </w:t>
      </w:r>
      <w:r>
        <w:tab/>
      </w:r>
      <w:r>
        <w:tab/>
      </w:r>
      <w:r>
        <w:tab/>
      </w:r>
    </w:p>
    <w:p w:rsidRPr="00774C61" w:rsidR="006833B0" w:rsidP="3611266C" w:rsidRDefault="006833B0" w14:paraId="19C2AE35" w14:textId="56F1FF94">
      <w:pPr>
        <w:rPr>
          <w:b w:val="1"/>
          <w:bCs w:val="1"/>
          <w:color w:val="FF0000"/>
        </w:rPr>
      </w:pPr>
      <w:r w:rsidRPr="2AA6D9F5" w:rsidR="78DD2089">
        <w:rPr>
          <w:b w:val="1"/>
          <w:bCs w:val="1"/>
        </w:rPr>
        <w:t xml:space="preserve">Data Input By: </w:t>
      </w:r>
      <w:r w:rsidRPr="2AA6D9F5" w:rsidR="428B6136">
        <w:rPr>
          <w:b w:val="1"/>
          <w:bCs w:val="1"/>
          <w:color w:val="FF0000"/>
        </w:rPr>
        <w:t xml:space="preserve">Shanna Cahalane </w:t>
      </w:r>
      <w:r w:rsidRPr="2AA6D9F5" w:rsidR="428B6136">
        <w:rPr>
          <w:b w:val="1"/>
          <w:bCs w:val="1"/>
          <w:color w:val="FF0000"/>
        </w:rPr>
        <w:t xml:space="preserve">– </w:t>
      </w:r>
      <w:r w:rsidRPr="2AA6D9F5" w:rsidR="06FBD083">
        <w:rPr>
          <w:b w:val="1"/>
          <w:bCs w:val="1"/>
          <w:color w:val="FF0000"/>
        </w:rPr>
        <w:t>February 3</w:t>
      </w:r>
      <w:r w:rsidRPr="2AA6D9F5" w:rsidR="428B6136">
        <w:rPr>
          <w:b w:val="1"/>
          <w:bCs w:val="1"/>
          <w:color w:val="FF0000"/>
        </w:rPr>
        <w:t xml:space="preserve">, </w:t>
      </w:r>
      <w:r w:rsidRPr="2AA6D9F5" w:rsidR="428B6136">
        <w:rPr>
          <w:b w:val="1"/>
          <w:bCs w:val="1"/>
          <w:color w:val="FF0000"/>
        </w:rPr>
        <w:t>202</w:t>
      </w:r>
      <w:r w:rsidRPr="2AA6D9F5" w:rsidR="3A3C9596">
        <w:rPr>
          <w:b w:val="1"/>
          <w:bCs w:val="1"/>
          <w:color w:val="FF0000"/>
        </w:rPr>
        <w:t>6</w:t>
      </w:r>
    </w:p>
    <w:p w:rsidRPr="006833B0" w:rsidR="006833B0" w:rsidP="006833B0" w:rsidRDefault="006833B0" w14:paraId="334A35BB" w14:textId="77777777">
      <w:pPr>
        <w:rPr>
          <w:b/>
          <w:bCs/>
        </w:rPr>
      </w:pPr>
      <w:r w:rsidRPr="006833B0">
        <w:rPr>
          <w:b/>
          <w:bCs/>
        </w:rPr>
        <w:t>RISK CONSIDERATIONS</w:t>
      </w:r>
      <w:r w:rsidRPr="006833B0">
        <w:rPr>
          <w:b/>
          <w:bCs/>
        </w:rPr>
        <w:tab/>
      </w:r>
      <w:r w:rsidRPr="006833B0">
        <w:rPr>
          <w:b/>
          <w:bCs/>
        </w:rPr>
        <w:tab/>
      </w:r>
      <w:r w:rsidRPr="006833B0">
        <w:rPr>
          <w:b/>
          <w:bCs/>
        </w:rPr>
        <w:tab/>
      </w:r>
      <w:r w:rsidRPr="006833B0">
        <w:rPr>
          <w:b/>
          <w:bCs/>
        </w:rPr>
        <w:tab/>
      </w:r>
      <w:r w:rsidRPr="006833B0">
        <w:rPr>
          <w:b/>
          <w:bCs/>
        </w:rPr>
        <w:tab/>
      </w:r>
      <w:r w:rsidRPr="006833B0">
        <w:rPr>
          <w:b/>
          <w:bCs/>
        </w:rPr>
        <w:tab/>
      </w:r>
      <w:r w:rsidRPr="006833B0">
        <w:rPr>
          <w:b/>
          <w:bCs/>
        </w:rPr>
        <w:tab/>
      </w:r>
      <w:r w:rsidRPr="006833B0">
        <w:rPr>
          <w:b/>
          <w:bCs/>
        </w:rPr>
        <w:tab/>
      </w:r>
      <w:r w:rsidRPr="006833B0">
        <w:rPr>
          <w:b/>
          <w:bCs/>
        </w:rPr>
        <w:tab/>
      </w:r>
    </w:p>
    <w:p w:rsidRPr="006833B0" w:rsidR="006833B0" w:rsidP="006833B0" w:rsidRDefault="006833B0" w14:paraId="2206AEAD" w14:textId="2BA4F2FC">
      <w:pPr>
        <w:rPr>
          <w:b/>
          <w:bCs/>
        </w:rPr>
      </w:pPr>
      <w:r w:rsidRPr="006833B0">
        <w:rPr>
          <w:b/>
          <w:bCs/>
        </w:rPr>
        <w:t>1.  Business Objectives/Initiatives (discuss timing and associated risks):</w:t>
      </w:r>
      <w:r w:rsidRPr="006833B0">
        <w:rPr>
          <w:b/>
          <w:bCs/>
        </w:rPr>
        <w:tab/>
      </w:r>
      <w:r w:rsidRPr="006833B0">
        <w:rPr>
          <w:b/>
          <w:bCs/>
        </w:rPr>
        <w:tab/>
      </w:r>
      <w:r w:rsidRPr="006833B0">
        <w:rPr>
          <w:b/>
          <w:bCs/>
        </w:rPr>
        <w:tab/>
      </w:r>
      <w:r w:rsidRPr="006833B0">
        <w:rPr>
          <w:b/>
          <w:bCs/>
        </w:rPr>
        <w:tab/>
      </w:r>
      <w:r w:rsidRPr="006833B0">
        <w:rPr>
          <w:b/>
          <w:bCs/>
        </w:rPr>
        <w:tab/>
      </w:r>
    </w:p>
    <w:p w:rsidR="006833B0" w:rsidP="006833B0" w:rsidRDefault="006833B0" w14:paraId="7567DCC4" w14:textId="0235FC11">
      <w:r>
        <w:t>Meet the credit needs of all members of our communities in which we do business.</w:t>
      </w:r>
      <w:r w:rsidR="0C0BF541">
        <w:t xml:space="preserve"> </w:t>
      </w:r>
      <w:r>
        <w:t>We recognize that this requires us to take a proactive, rather than a passive approach to determining and meeting community credit needs, including those of creditworthy low-income and moderate-income areas and individuals.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833B0" w:rsidP="006833B0" w:rsidRDefault="006833B0" w14:paraId="2EE7E98D" w14:textId="6A712775">
      <w:r w:rsidRPr="006833B0">
        <w:rPr>
          <w:b/>
          <w:bCs/>
        </w:rPr>
        <w:t>2.  Technology Objectives/Initiatives (discuss timing and associated risks):</w:t>
      </w:r>
      <w:r w:rsidRPr="006833B0">
        <w:rPr>
          <w:b/>
          <w:bCs/>
        </w:rPr>
        <w:tab/>
      </w:r>
      <w:r w:rsidRPr="006833B0">
        <w:rPr>
          <w:b/>
          <w:bCs/>
        </w:rPr>
        <w:tab/>
      </w:r>
      <w:r w:rsidRPr="006833B0">
        <w:rPr>
          <w:b/>
          <w:bCs/>
        </w:rPr>
        <w:tab/>
      </w:r>
      <w:r w:rsidRPr="006833B0">
        <w:rPr>
          <w:b/>
          <w:bCs/>
        </w:rPr>
        <w:tab/>
      </w:r>
      <w:r w:rsidRPr="006833B0">
        <w:rPr>
          <w:b/>
          <w:bCs/>
        </w:rPr>
        <w:tab/>
      </w:r>
    </w:p>
    <w:p w:rsidR="006833B0" w:rsidP="006833B0" w:rsidRDefault="00324A50" w14:paraId="185E2CA0" w14:textId="3887BDD0">
      <w:r w:rsidR="62F438F7">
        <w:rPr/>
        <w:t>RCB has contracted with Kadince, a community involvement tracking software, to streamline community involvement and donation requests and processing.</w:t>
      </w:r>
      <w:r w:rsidR="36323548">
        <w:rPr/>
        <w:t xml:space="preserve"> </w:t>
      </w:r>
    </w:p>
    <w:p w:rsidR="003F7010" w:rsidP="006833B0" w:rsidRDefault="006833B0" w14:paraId="0CBD590F" w14:textId="77777777">
      <w:pPr>
        <w:rPr>
          <w:b/>
          <w:bCs/>
        </w:rPr>
      </w:pPr>
      <w:r w:rsidRPr="006833B0">
        <w:rPr>
          <w:b/>
          <w:bCs/>
        </w:rPr>
        <w:t>4.  Staffing and Management Levels/Changes/Turnover:</w:t>
      </w:r>
      <w:r w:rsidRPr="006833B0">
        <w:rPr>
          <w:b/>
          <w:bCs/>
        </w:rPr>
        <w:tab/>
      </w:r>
      <w:r w:rsidRPr="006833B0">
        <w:rPr>
          <w:b/>
          <w:bCs/>
        </w:rPr>
        <w:tab/>
      </w:r>
      <w:r w:rsidRPr="006833B0">
        <w:rPr>
          <w:b/>
          <w:bCs/>
        </w:rPr>
        <w:tab/>
      </w:r>
      <w:r w:rsidRPr="006833B0">
        <w:rPr>
          <w:b/>
          <w:bCs/>
        </w:rPr>
        <w:tab/>
      </w:r>
      <w:r w:rsidRPr="006833B0">
        <w:rPr>
          <w:b/>
          <w:bCs/>
        </w:rPr>
        <w:tab/>
      </w:r>
      <w:r w:rsidRPr="006833B0">
        <w:rPr>
          <w:b/>
          <w:bCs/>
        </w:rPr>
        <w:tab/>
      </w:r>
    </w:p>
    <w:p w:rsidR="006833B0" w:rsidP="006833B0" w:rsidRDefault="006833B0" w14:paraId="62CD229B" w14:textId="65A9340B">
      <w:r>
        <w:t xml:space="preserve">The Bank has established an internal CRA </w:t>
      </w:r>
      <w:r w:rsidR="00324A50">
        <w:t>Committee and</w:t>
      </w:r>
      <w:r>
        <w:t xml:space="preserve"> has appointed a CRA officer</w:t>
      </w:r>
      <w:r w:rsidR="00324A50">
        <w:t xml:space="preserve"> and has hired full</w:t>
      </w:r>
      <w:r w:rsidR="120D67A4">
        <w:t>-</w:t>
      </w:r>
      <w:r w:rsidR="00324A50">
        <w:t xml:space="preserve"> time Community Development Officers to help meet the needs of the community</w:t>
      </w:r>
      <w:r>
        <w:t xml:space="preserve">. The CRA Committee is informed of the Bank's CRA performance through quarterly meetings that include updates by the CRA Officer and other Departments critical to the Bank's CRA performance.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833B0" w:rsidP="006833B0" w:rsidRDefault="006833B0" w14:paraId="7C3F7B69" w14:textId="77777777">
      <w:pPr>
        <w:rPr>
          <w:b/>
          <w:bCs/>
        </w:rPr>
      </w:pPr>
      <w:r w:rsidRPr="006833B0">
        <w:rPr>
          <w:b/>
          <w:bCs/>
        </w:rPr>
        <w:t>5.  Policy, Procedures or Operations Changes:</w:t>
      </w:r>
      <w:r w:rsidRPr="006833B0">
        <w:rPr>
          <w:b/>
          <w:bCs/>
        </w:rPr>
        <w:tab/>
      </w:r>
      <w:r w:rsidRPr="006833B0">
        <w:rPr>
          <w:b/>
          <w:bCs/>
        </w:rPr>
        <w:tab/>
      </w:r>
      <w:r w:rsidRPr="006833B0">
        <w:rPr>
          <w:b/>
          <w:bCs/>
        </w:rPr>
        <w:tab/>
      </w:r>
      <w:r w:rsidRPr="006833B0">
        <w:rPr>
          <w:b/>
          <w:bCs/>
        </w:rPr>
        <w:tab/>
      </w:r>
      <w:r w:rsidRPr="006833B0">
        <w:rPr>
          <w:b/>
          <w:bCs/>
        </w:rPr>
        <w:tab/>
      </w:r>
      <w:r w:rsidRPr="006833B0">
        <w:rPr>
          <w:b/>
          <w:bCs/>
        </w:rPr>
        <w:tab/>
      </w:r>
      <w:r w:rsidRPr="006833B0">
        <w:rPr>
          <w:b/>
          <w:bCs/>
        </w:rPr>
        <w:tab/>
      </w:r>
    </w:p>
    <w:p w:rsidR="006833B0" w:rsidP="006833B0" w:rsidRDefault="006833B0" w14:paraId="0AF2F04F" w14:textId="29D72B33">
      <w:r w:rsidR="78DD2089">
        <w:rPr/>
        <w:t>CRA Policy reviewed annually. CRA Compliance consists of posting the proper CRA Notice in all lobbies, preparing and maintaining the electronic CRA Public Comment File on the Bank's Intranet</w:t>
      </w:r>
      <w:r w:rsidR="515FF641">
        <w:rPr/>
        <w:t>/Website</w:t>
      </w:r>
      <w:r w:rsidR="78DD2089">
        <w:rPr/>
        <w:t>, accumulating and analyzing Home Mortgage Disclosure Act (HMDA) data including comparative information from peer lenders in the Bank's CRA Assessment Are</w:t>
      </w:r>
      <w:r w:rsidR="62F438F7">
        <w:rPr/>
        <w:t>a</w:t>
      </w:r>
      <w:r w:rsidR="78DD2089">
        <w:rPr/>
        <w:t>s, which quantifies the results of our CRA performance; utilizing the bank's resources to identify the banking needs of the communities which we serve, especially through regular communication with leaders in these communities; replying to any public comments and positively and constructively addressing them; providing the CRA committee with ongoing information about the results of our program; preparing an annual CRA Self-Assessment which outlines the details of the program, and identifies progress and ways to further improve our performance; regularly reviewing and assessing industry changes as they relate to Bank activities; tracking and promptly resolving and issues identified through compliance reviews and examinations.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6833B0" w:rsidR="006833B0" w:rsidP="006833B0" w:rsidRDefault="006833B0" w14:paraId="0C8CBB2F" w14:textId="5A6FA420">
      <w:pPr>
        <w:rPr>
          <w:b/>
          <w:bCs/>
        </w:rPr>
      </w:pPr>
      <w:r w:rsidRPr="006833B0">
        <w:rPr>
          <w:b/>
          <w:bCs/>
        </w:rPr>
        <w:t>6.  Other Internal or External Factors Impacting Risk:</w:t>
      </w:r>
      <w:r w:rsidRPr="006833B0">
        <w:rPr>
          <w:b/>
          <w:bCs/>
        </w:rPr>
        <w:tab/>
      </w:r>
      <w:r w:rsidRPr="006833B0">
        <w:rPr>
          <w:b/>
          <w:bCs/>
        </w:rPr>
        <w:tab/>
      </w:r>
      <w:r w:rsidRPr="006833B0">
        <w:rPr>
          <w:b/>
          <w:bCs/>
        </w:rPr>
        <w:tab/>
      </w:r>
      <w:r w:rsidRPr="006833B0">
        <w:rPr>
          <w:b/>
          <w:bCs/>
        </w:rPr>
        <w:tab/>
      </w:r>
      <w:r w:rsidRPr="006833B0">
        <w:rPr>
          <w:b/>
          <w:bCs/>
        </w:rPr>
        <w:tab/>
      </w:r>
      <w:r w:rsidRPr="006833B0">
        <w:rPr>
          <w:b/>
          <w:bCs/>
        </w:rPr>
        <w:tab/>
      </w:r>
      <w:r w:rsidRPr="006833B0">
        <w:rPr>
          <w:b/>
          <w:bCs/>
        </w:rPr>
        <w:tab/>
      </w:r>
    </w:p>
    <w:p w:rsidR="006833B0" w:rsidP="006833B0" w:rsidRDefault="00324A50" w14:paraId="0DF5AE4D" w14:textId="2BBFF983">
      <w:r w:rsidR="62F438F7">
        <w:rPr/>
        <w:t xml:space="preserve">To be </w:t>
      </w:r>
      <w:r w:rsidR="62F438F7">
        <w:rPr/>
        <w:t>determined</w:t>
      </w:r>
      <w:r w:rsidR="62F438F7">
        <w:rPr/>
        <w:t xml:space="preserve"> following </w:t>
      </w:r>
      <w:r w:rsidR="65F6E6BF">
        <w:rPr/>
        <w:t>the results of our strategic plans for 202</w:t>
      </w:r>
      <w:r w:rsidR="3D8E734F">
        <w:rPr/>
        <w:t>6</w:t>
      </w:r>
      <w:r w:rsidR="65F6E6BF">
        <w:rPr/>
        <w:t xml:space="preserve">. </w:t>
      </w:r>
      <w:r>
        <w:tab/>
      </w:r>
      <w:r>
        <w:tab/>
      </w:r>
      <w:r>
        <w:tab/>
      </w:r>
      <w:r>
        <w:tab/>
      </w:r>
      <w:r>
        <w:tab/>
      </w:r>
    </w:p>
    <w:p w:rsidR="00184A8A" w:rsidP="006833B0" w:rsidRDefault="006833B0" w14:paraId="33710B90" w14:textId="294200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84A8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B0"/>
    <w:rsid w:val="00015533"/>
    <w:rsid w:val="00065716"/>
    <w:rsid w:val="00084208"/>
    <w:rsid w:val="000A18E4"/>
    <w:rsid w:val="000B5B39"/>
    <w:rsid w:val="000F03D5"/>
    <w:rsid w:val="000F4D66"/>
    <w:rsid w:val="00101CAF"/>
    <w:rsid w:val="001311E6"/>
    <w:rsid w:val="00184A8A"/>
    <w:rsid w:val="0019025B"/>
    <w:rsid w:val="00196542"/>
    <w:rsid w:val="001D42B3"/>
    <w:rsid w:val="001F5CD9"/>
    <w:rsid w:val="00245E09"/>
    <w:rsid w:val="002B643B"/>
    <w:rsid w:val="002D1E69"/>
    <w:rsid w:val="002D56CE"/>
    <w:rsid w:val="0031109C"/>
    <w:rsid w:val="00324A50"/>
    <w:rsid w:val="003260D7"/>
    <w:rsid w:val="003D1A91"/>
    <w:rsid w:val="003D1EB0"/>
    <w:rsid w:val="003F7010"/>
    <w:rsid w:val="00404DE8"/>
    <w:rsid w:val="00437C45"/>
    <w:rsid w:val="00456AD5"/>
    <w:rsid w:val="00483C1A"/>
    <w:rsid w:val="004C29BA"/>
    <w:rsid w:val="004D479B"/>
    <w:rsid w:val="00505802"/>
    <w:rsid w:val="005148A7"/>
    <w:rsid w:val="005156A1"/>
    <w:rsid w:val="005218E3"/>
    <w:rsid w:val="00531317"/>
    <w:rsid w:val="00566F5F"/>
    <w:rsid w:val="0058653D"/>
    <w:rsid w:val="00596021"/>
    <w:rsid w:val="005B07D5"/>
    <w:rsid w:val="005D21E8"/>
    <w:rsid w:val="00601ECE"/>
    <w:rsid w:val="00630B8A"/>
    <w:rsid w:val="00641613"/>
    <w:rsid w:val="00662E37"/>
    <w:rsid w:val="00682D7E"/>
    <w:rsid w:val="006833B0"/>
    <w:rsid w:val="006914F1"/>
    <w:rsid w:val="006D2AD4"/>
    <w:rsid w:val="006E786B"/>
    <w:rsid w:val="00753DB2"/>
    <w:rsid w:val="007A3067"/>
    <w:rsid w:val="007B4685"/>
    <w:rsid w:val="007E0C9E"/>
    <w:rsid w:val="0080501F"/>
    <w:rsid w:val="00807DAD"/>
    <w:rsid w:val="008109D0"/>
    <w:rsid w:val="00815D32"/>
    <w:rsid w:val="008168C2"/>
    <w:rsid w:val="008207E0"/>
    <w:rsid w:val="008464FA"/>
    <w:rsid w:val="0085518A"/>
    <w:rsid w:val="00862EF6"/>
    <w:rsid w:val="0087217B"/>
    <w:rsid w:val="008A47C4"/>
    <w:rsid w:val="008F416F"/>
    <w:rsid w:val="009046B1"/>
    <w:rsid w:val="00911A1D"/>
    <w:rsid w:val="009408D8"/>
    <w:rsid w:val="009927EE"/>
    <w:rsid w:val="009A7E52"/>
    <w:rsid w:val="009C0EE8"/>
    <w:rsid w:val="009C2A1D"/>
    <w:rsid w:val="00A1499B"/>
    <w:rsid w:val="00A35E58"/>
    <w:rsid w:val="00A5702F"/>
    <w:rsid w:val="00A77EF8"/>
    <w:rsid w:val="00AC6D5A"/>
    <w:rsid w:val="00AF31A0"/>
    <w:rsid w:val="00B251A8"/>
    <w:rsid w:val="00B42550"/>
    <w:rsid w:val="00B4289B"/>
    <w:rsid w:val="00B52130"/>
    <w:rsid w:val="00B70F05"/>
    <w:rsid w:val="00B81E3E"/>
    <w:rsid w:val="00B90564"/>
    <w:rsid w:val="00BA5E80"/>
    <w:rsid w:val="00BC222C"/>
    <w:rsid w:val="00BE10E4"/>
    <w:rsid w:val="00BF08A3"/>
    <w:rsid w:val="00C16F6F"/>
    <w:rsid w:val="00C66893"/>
    <w:rsid w:val="00C94773"/>
    <w:rsid w:val="00CD0518"/>
    <w:rsid w:val="00D15332"/>
    <w:rsid w:val="00D1586F"/>
    <w:rsid w:val="00D2073A"/>
    <w:rsid w:val="00D2165E"/>
    <w:rsid w:val="00D367D2"/>
    <w:rsid w:val="00D56E18"/>
    <w:rsid w:val="00D714CC"/>
    <w:rsid w:val="00D90A6A"/>
    <w:rsid w:val="00DB1B05"/>
    <w:rsid w:val="00E61DDC"/>
    <w:rsid w:val="00E65E25"/>
    <w:rsid w:val="00E8417F"/>
    <w:rsid w:val="00EE01B8"/>
    <w:rsid w:val="00EF1AC3"/>
    <w:rsid w:val="00F05DFB"/>
    <w:rsid w:val="00F1493C"/>
    <w:rsid w:val="00F35371"/>
    <w:rsid w:val="00F43D0C"/>
    <w:rsid w:val="00F60B32"/>
    <w:rsid w:val="00F7234A"/>
    <w:rsid w:val="00F77CE4"/>
    <w:rsid w:val="00FB0EC2"/>
    <w:rsid w:val="00FF2085"/>
    <w:rsid w:val="00FF533A"/>
    <w:rsid w:val="02B98B42"/>
    <w:rsid w:val="06FBD083"/>
    <w:rsid w:val="07EBAC23"/>
    <w:rsid w:val="089121F1"/>
    <w:rsid w:val="08DA2BC9"/>
    <w:rsid w:val="0C0BF541"/>
    <w:rsid w:val="0EA7B4FB"/>
    <w:rsid w:val="120D67A4"/>
    <w:rsid w:val="1996F08D"/>
    <w:rsid w:val="1B3A02E9"/>
    <w:rsid w:val="1D715CDF"/>
    <w:rsid w:val="2AA6D9F5"/>
    <w:rsid w:val="2BC557AB"/>
    <w:rsid w:val="2E865C37"/>
    <w:rsid w:val="3335A3AC"/>
    <w:rsid w:val="350C92F9"/>
    <w:rsid w:val="3611266C"/>
    <w:rsid w:val="36323548"/>
    <w:rsid w:val="36A8A867"/>
    <w:rsid w:val="385E0FEF"/>
    <w:rsid w:val="3A3C9596"/>
    <w:rsid w:val="3C337715"/>
    <w:rsid w:val="3D8E734F"/>
    <w:rsid w:val="41BA5900"/>
    <w:rsid w:val="428B6136"/>
    <w:rsid w:val="4B567EB8"/>
    <w:rsid w:val="4E0923EC"/>
    <w:rsid w:val="515FF641"/>
    <w:rsid w:val="5259BF27"/>
    <w:rsid w:val="5541856C"/>
    <w:rsid w:val="57710C1A"/>
    <w:rsid w:val="58678114"/>
    <w:rsid w:val="5B75ACEE"/>
    <w:rsid w:val="60FAB6CA"/>
    <w:rsid w:val="62F438F7"/>
    <w:rsid w:val="65F6E6BF"/>
    <w:rsid w:val="696B02B7"/>
    <w:rsid w:val="6DCD93A3"/>
    <w:rsid w:val="6F265F9F"/>
    <w:rsid w:val="70465332"/>
    <w:rsid w:val="72A61AFA"/>
    <w:rsid w:val="78DD2089"/>
    <w:rsid w:val="7A54B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6DF5A"/>
  <w15:chartTrackingRefBased/>
  <w15:docId w15:val="{67AD45FE-4E71-435D-B3B0-E7CD574D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hAnsiTheme="majorHAnsi" w:eastAsiaTheme="minorHAnsi" w:cstheme="maj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D21E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f79de0-2e53-4850-b34d-478771ce96c6">
      <Terms xmlns="http://schemas.microsoft.com/office/infopath/2007/PartnerControls"/>
    </lcf76f155ced4ddcb4097134ff3c332f>
    <TaxCatchAll xmlns="871384f5-0bc0-47e0-98c1-2505a4b772ed" xsi:nil="true"/>
    <SharedWithUsers xmlns="871384f5-0bc0-47e0-98c1-2505a4b772ed">
      <UserInfo>
        <DisplayName>Karen Tavernese</DisplayName>
        <AccountId>54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2D720BCB24C45B5E344C0B0528EA3" ma:contentTypeVersion="19" ma:contentTypeDescription="Create a new document." ma:contentTypeScope="" ma:versionID="584c2d128f33d259681e797f38813abb">
  <xsd:schema xmlns:xsd="http://www.w3.org/2001/XMLSchema" xmlns:xs="http://www.w3.org/2001/XMLSchema" xmlns:p="http://schemas.microsoft.com/office/2006/metadata/properties" xmlns:ns2="50f79de0-2e53-4850-b34d-478771ce96c6" xmlns:ns3="871384f5-0bc0-47e0-98c1-2505a4b772ed" targetNamespace="http://schemas.microsoft.com/office/2006/metadata/properties" ma:root="true" ma:fieldsID="fb765a59e136adc7c1a941c36e33fff8" ns2:_="" ns3:_="">
    <xsd:import namespace="50f79de0-2e53-4850-b34d-478771ce96c6"/>
    <xsd:import namespace="871384f5-0bc0-47e0-98c1-2505a4b772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79de0-2e53-4850-b34d-478771ce9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6732c0b-01f9-46eb-aa6f-b7da3d7ba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384f5-0bc0-47e0-98c1-2505a4b772e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38d171-9368-4059-8b24-07fa900d511a}" ma:internalName="TaxCatchAll" ma:showField="CatchAllData" ma:web="871384f5-0bc0-47e0-98c1-2505a4b772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39F739-2F46-42A2-8167-9D79F81FD002}">
  <ds:schemaRefs>
    <ds:schemaRef ds:uri="http://schemas.microsoft.com/office/2006/metadata/properties"/>
    <ds:schemaRef ds:uri="http://schemas.microsoft.com/office/infopath/2007/PartnerControls"/>
    <ds:schemaRef ds:uri="50f79de0-2e53-4850-b34d-478771ce96c6"/>
    <ds:schemaRef ds:uri="871384f5-0bc0-47e0-98c1-2505a4b772ed"/>
  </ds:schemaRefs>
</ds:datastoreItem>
</file>

<file path=customXml/itemProps2.xml><?xml version="1.0" encoding="utf-8"?>
<ds:datastoreItem xmlns:ds="http://schemas.openxmlformats.org/officeDocument/2006/customXml" ds:itemID="{EE1C9DE5-8408-4331-94B4-F49E1008C0C4}"/>
</file>

<file path=customXml/itemProps3.xml><?xml version="1.0" encoding="utf-8"?>
<ds:datastoreItem xmlns:ds="http://schemas.openxmlformats.org/officeDocument/2006/customXml" ds:itemID="{0132049B-6067-4EF3-AAE3-D2F2F2115DE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Karen Tavernese</dc:creator>
  <keywords/>
  <dc:description/>
  <lastModifiedBy>Rich Vecchione</lastModifiedBy>
  <revision>8</revision>
  <dcterms:created xsi:type="dcterms:W3CDTF">2024-11-07T16:32:00.0000000Z</dcterms:created>
  <dcterms:modified xsi:type="dcterms:W3CDTF">2026-02-03T23:18:28.7582555Z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0x010100D482D720BCB24C45B5E344C0B0528EA3</vt:lpwstr>
  </property>
  <property fmtid="{D5CDD505-2E9C-101B-9397-08002B2CF9AE}" pid="3" name="MediaServiceImageTags">
    <vt:lpwstr/>
  </property>
</Properties>
</file>